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宋体" w:hAnsi="宋体" w:eastAsiaTheme="minorEastAsia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《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教育学</w:t>
      </w:r>
      <w:r>
        <w:rPr>
          <w:rFonts w:hint="eastAsia" w:ascii="宋体" w:hAnsi="宋体"/>
          <w:b/>
          <w:sz w:val="32"/>
          <w:szCs w:val="32"/>
        </w:rPr>
        <w:t>》课程教学大纲</w:t>
      </w:r>
    </w:p>
    <w:tbl>
      <w:tblPr>
        <w:tblStyle w:val="6"/>
        <w:tblW w:w="94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927"/>
        <w:gridCol w:w="596"/>
        <w:gridCol w:w="353"/>
        <w:gridCol w:w="2189"/>
        <w:gridCol w:w="626"/>
        <w:gridCol w:w="1025"/>
        <w:gridCol w:w="1618"/>
        <w:gridCol w:w="1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课程名称：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教育学</w:t>
            </w:r>
          </w:p>
        </w:tc>
        <w:tc>
          <w:tcPr>
            <w:tcW w:w="4850" w:type="dxa"/>
            <w:gridSpan w:val="4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  <w:t>课程类别（必修/选修）：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 xml:space="preserve">课程英文名称：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Pedagogy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总学时/周学时/学分：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val="en-US" w:eastAsia="zh-CN"/>
              </w:rPr>
              <w:t>48/3/2</w:t>
            </w:r>
          </w:p>
        </w:tc>
        <w:tc>
          <w:tcPr>
            <w:tcW w:w="4850" w:type="dxa"/>
            <w:gridSpan w:val="4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  <w:t>其中实验学时：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 xml:space="preserve">先修课程：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授课时间：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val="en-US" w:eastAsia="zh-CN"/>
              </w:rPr>
              <w:t>1-16周 周二  5-7节</w:t>
            </w:r>
          </w:p>
        </w:tc>
        <w:tc>
          <w:tcPr>
            <w:tcW w:w="4850" w:type="dxa"/>
            <w:gridSpan w:val="4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授课地点：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val="en-US" w:eastAsia="zh-CN"/>
              </w:rPr>
              <w:t>6C-203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 xml:space="preserve">授课对象： 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val="en-US" w:eastAsia="zh-CN"/>
              </w:rPr>
              <w:t>2016小学数学1班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开课院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  <w:t>系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教育学院（师范学院）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  <w:t>任课教师姓名/职称：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张锐   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联系电话：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val="en-US" w:eastAsia="zh-CN"/>
              </w:rPr>
              <w:t>面询</w:t>
            </w:r>
          </w:p>
        </w:tc>
        <w:tc>
          <w:tcPr>
            <w:tcW w:w="4850" w:type="dxa"/>
            <w:gridSpan w:val="4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Email: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val="en-US" w:eastAsia="zh-CN"/>
              </w:rPr>
              <w:t>面询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  <w:t>答疑时间、地点与方式：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师生沟通以上课前后的面谈为主，辅以电邮、电话方式进行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开卷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√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 xml:space="preserve">     闭卷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  <w:t xml:space="preserve">）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课程论文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  <w:t xml:space="preserve">（  ）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其它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lang w:eastAsia="zh-CN"/>
              </w:rPr>
              <w:t>使用教材：华东师范大学教育学编写组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lang w:val="en-US" w:eastAsia="zh-CN"/>
              </w:rPr>
              <w:t>. 《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lang w:eastAsia="zh-CN"/>
              </w:rPr>
              <w:t>基于教师资格考试的教育学》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lang w:eastAsia="zh-CN"/>
              </w:rPr>
              <w:t>华东师范大学出版社，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lang w:val="en-US" w:eastAsia="zh-CN"/>
              </w:rPr>
              <w:t>2016.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1.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全国十二所重点师范大学联合编写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.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《教育学基础（第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版）》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.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教育科学出版社，20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14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2.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王道俊、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郭文安.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《教育学（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第7版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）》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.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人民教育出版社，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2016.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ind w:right="0" w:rightChars="0" w:firstLine="420" w:firstLineChars="20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3.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袁振国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《当代教育学》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.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教育科学出版社，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2010.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3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both"/>
              <w:outlineLvl w:val="0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课程简介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  <w:t>：</w:t>
            </w:r>
          </w:p>
          <w:p>
            <w:pPr>
              <w:spacing w:line="360" w:lineRule="exact"/>
              <w:ind w:firstLine="420" w:firstLineChars="200"/>
              <w:jc w:val="left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eastAsia="zh-CN"/>
              </w:rPr>
              <w:t>教育学是师范类专业的必修课。教育学是研究教育现象、揭示教育规律和阐释教育理论及其应用的一门理论学科。通过本课程的教学，促使学生了解并热爱教育事业，提高教育科学素养，掌握教育基本理论和教育基本常识，初步形成教育基本技能，为成为合格的中小学教师打下基础。本课程教学内容是全国教师资格考试的必考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4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both"/>
              <w:outlineLvl w:val="0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  <w:t>课程教学目标：</w:t>
            </w:r>
          </w:p>
          <w:p>
            <w:pPr>
              <w:spacing w:line="360" w:lineRule="exact"/>
              <w:ind w:firstLine="420" w:firstLineChars="200"/>
              <w:jc w:val="left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eastAsia="zh-CN"/>
              </w:rPr>
              <w:t>1、知识与技能目标：使学生掌握当代教育学理论基本知识，更新教育观念，树立正确的教育和教学思想。</w:t>
            </w:r>
          </w:p>
          <w:p>
            <w:pPr>
              <w:spacing w:line="360" w:lineRule="exact"/>
              <w:ind w:firstLine="420" w:firstLineChars="200"/>
              <w:jc w:val="left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eastAsia="zh-CN"/>
              </w:rPr>
              <w:t>2、过程与方法目标：了解顺利成为一名教师的途径，通过切身参与本课程教学的各个环节，体验教师工作的基本流程和方法。</w:t>
            </w:r>
          </w:p>
          <w:p>
            <w:pPr>
              <w:spacing w:line="360" w:lineRule="exact"/>
              <w:ind w:firstLine="420" w:firstLineChars="200"/>
              <w:jc w:val="left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eastAsia="zh-CN"/>
              </w:rPr>
              <w:t>3、情感、态度与价值观目标：引导学生将教育当作一项人生事业来思考，自己能够有意识、有计划地逐步走向专业化的教师职业。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Cs w:val="21"/>
                <w:lang w:eastAsia="zh-CN"/>
              </w:rPr>
              <w:t>理论教学进程表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6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周次</w:t>
            </w:r>
          </w:p>
        </w:tc>
        <w:tc>
          <w:tcPr>
            <w:tcW w:w="927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教学主题</w:t>
            </w:r>
          </w:p>
        </w:tc>
        <w:tc>
          <w:tcPr>
            <w:tcW w:w="94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教学时长</w:t>
            </w:r>
          </w:p>
        </w:tc>
        <w:tc>
          <w:tcPr>
            <w:tcW w:w="2815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教学的重点与难点</w:t>
            </w:r>
          </w:p>
        </w:tc>
        <w:tc>
          <w:tcPr>
            <w:tcW w:w="1025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教学方式</w:t>
            </w:r>
          </w:p>
        </w:tc>
        <w:tc>
          <w:tcPr>
            <w:tcW w:w="319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作业安排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27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导言</w:t>
            </w:r>
          </w:p>
        </w:tc>
        <w:tc>
          <w:tcPr>
            <w:tcW w:w="94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815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明确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课程的主要内容、方法和具体要求。</w:t>
            </w:r>
          </w:p>
        </w:tc>
        <w:tc>
          <w:tcPr>
            <w:tcW w:w="102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讨论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展示</w:t>
            </w:r>
          </w:p>
        </w:tc>
        <w:tc>
          <w:tcPr>
            <w:tcW w:w="319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讨论安排课堂汇报主题及人员，撰写课外阅读计划。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2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第一章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教育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概述</w:t>
            </w:r>
          </w:p>
        </w:tc>
        <w:tc>
          <w:tcPr>
            <w:tcW w:w="9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掌握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教育的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含义、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要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以及义务教育的特征</w:t>
            </w:r>
          </w:p>
        </w:tc>
        <w:tc>
          <w:tcPr>
            <w:tcW w:w="1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讲授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讨论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展示</w:t>
            </w:r>
          </w:p>
        </w:tc>
        <w:tc>
          <w:tcPr>
            <w:tcW w:w="31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【课堂作业】绘制教育要素的关系图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理解教育与人的发展、社会发展的基本关系</w:t>
            </w:r>
          </w:p>
        </w:tc>
        <w:tc>
          <w:tcPr>
            <w:tcW w:w="1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讲授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讨论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展示</w:t>
            </w:r>
          </w:p>
        </w:tc>
        <w:tc>
          <w:tcPr>
            <w:tcW w:w="31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【课堂作业】全面发展与个性发展的关系。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掌握有关教育目的的理论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理解是素质教育的基本要求及实施方法</w:t>
            </w:r>
          </w:p>
        </w:tc>
        <w:tc>
          <w:tcPr>
            <w:tcW w:w="1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讲授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讨论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展示</w:t>
            </w:r>
          </w:p>
        </w:tc>
        <w:tc>
          <w:tcPr>
            <w:tcW w:w="31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【课后作业】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查阅国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内外关于教育基本问题、教育制度的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相关资料，加深对国内外教育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现状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的理解和认识，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撰写阅读书单。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第二章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学生</w:t>
            </w:r>
          </w:p>
        </w:tc>
        <w:tc>
          <w:tcPr>
            <w:tcW w:w="9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理解学生的本质属性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掌握学生的权利和义务</w:t>
            </w:r>
          </w:p>
        </w:tc>
        <w:tc>
          <w:tcPr>
            <w:tcW w:w="1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讲授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讨论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展示</w:t>
            </w:r>
          </w:p>
        </w:tc>
        <w:tc>
          <w:tcPr>
            <w:tcW w:w="31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【课堂作业】分组阅读和讨论其中的一个属性，概括观点，寻找案例，举例说明并集中展示。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【课后】查询新闻，了解学生的真实生活。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掌握师生关系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理解和运用“以人为本”的学生观</w:t>
            </w:r>
          </w:p>
        </w:tc>
        <w:tc>
          <w:tcPr>
            <w:tcW w:w="1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讲授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讨论</w:t>
            </w:r>
          </w:p>
        </w:tc>
        <w:tc>
          <w:tcPr>
            <w:tcW w:w="31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【课堂讨论】学生观及其实现途径。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2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第三章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教师</w:t>
            </w:r>
          </w:p>
        </w:tc>
        <w:tc>
          <w:tcPr>
            <w:tcW w:w="9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理解教师的专业素养和成长阶段；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理解教师职业道德和行为规范</w:t>
            </w:r>
          </w:p>
        </w:tc>
        <w:tc>
          <w:tcPr>
            <w:tcW w:w="1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讲授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讨论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展示</w:t>
            </w:r>
          </w:p>
        </w:tc>
        <w:tc>
          <w:tcPr>
            <w:tcW w:w="31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【讨论】如何促进教师的专业发展，解读《教师职业道德规范》。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  <w:jc w:val="center"/>
        </w:trPr>
        <w:tc>
          <w:tcPr>
            <w:tcW w:w="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评析教育教学实践中的师德和行为问题；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掌握教师心理特征及其相关理论，分析教师常见心理问题和解决方法。</w:t>
            </w:r>
          </w:p>
        </w:tc>
        <w:tc>
          <w:tcPr>
            <w:tcW w:w="1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讲授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讨论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展示</w:t>
            </w:r>
          </w:p>
        </w:tc>
        <w:tc>
          <w:tcPr>
            <w:tcW w:w="31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【课堂主题汇报】课前收集教师职业道德、教师心理的案例和研究论文，自选主题展示并答疑。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2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第四章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课程</w:t>
            </w:r>
          </w:p>
        </w:tc>
        <w:tc>
          <w:tcPr>
            <w:tcW w:w="9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掌握基本的课程类型及其特征</w:t>
            </w:r>
          </w:p>
        </w:tc>
        <w:tc>
          <w:tcPr>
            <w:tcW w:w="1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讲授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讨论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展示</w:t>
            </w:r>
          </w:p>
        </w:tc>
        <w:tc>
          <w:tcPr>
            <w:tcW w:w="31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【分组阅读与讨论】每组阅读一组课程分类，并用图标呈现该组课程的不同特征，并集中展示。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【课后】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阅读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并深入理解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《基础教育课程改革纲要》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小学数学课程标准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理解课程开发的主要影响因素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了解课程改革的现状和发展趋势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讲授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讨论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展示</w:t>
            </w:r>
          </w:p>
        </w:tc>
        <w:tc>
          <w:tcPr>
            <w:tcW w:w="31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【查询与讨论】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1、课前收集一所学校的课程开发案例，思考儿童、社会以及学科特征的具体影响。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2、查询STEAM课程的的相关资料。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【课后】小组讨论各年级课程内容及其相互的逻辑关系，制图并展示。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6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92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第五章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教学</w:t>
            </w:r>
          </w:p>
        </w:tc>
        <w:tc>
          <w:tcPr>
            <w:tcW w:w="94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8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理解教学的，熟悉和运用教学过程的规律和教学原则。</w:t>
            </w:r>
          </w:p>
        </w:tc>
        <w:tc>
          <w:tcPr>
            <w:tcW w:w="102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讲授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讨论</w:t>
            </w:r>
          </w:p>
        </w:tc>
        <w:tc>
          <w:tcPr>
            <w:tcW w:w="319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【小组讨论】课前收集典型课例，运用教学原则进行分析。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6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94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8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掌握和运用常用的教学方法；掌握教学评价的相关概念。</w:t>
            </w:r>
          </w:p>
        </w:tc>
        <w:tc>
          <w:tcPr>
            <w:tcW w:w="102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讲授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讨论</w:t>
            </w:r>
          </w:p>
        </w:tc>
        <w:tc>
          <w:tcPr>
            <w:tcW w:w="3199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【设计与展示】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1、课前说课小组撰写一份说课案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2、课前试讲小组设计一堂课，撰写说课材料，并试讲。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3、课后独立撰写一个完整的教案。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6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92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94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8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运用不同的教学组织形式；了解课堂教学的基本策略</w:t>
            </w:r>
          </w:p>
        </w:tc>
        <w:tc>
          <w:tcPr>
            <w:tcW w:w="102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讨论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展示</w:t>
            </w:r>
          </w:p>
        </w:tc>
        <w:tc>
          <w:tcPr>
            <w:tcW w:w="3199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6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92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第六章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德育</w:t>
            </w:r>
          </w:p>
        </w:tc>
        <w:tc>
          <w:tcPr>
            <w:tcW w:w="94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8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理解德育过程的规律及德育模式</w:t>
            </w:r>
          </w:p>
        </w:tc>
        <w:tc>
          <w:tcPr>
            <w:tcW w:w="102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讲授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讨论</w:t>
            </w:r>
          </w:p>
        </w:tc>
        <w:tc>
          <w:tcPr>
            <w:tcW w:w="319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【课后】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收集德育案例和相关资料，加深理解德育的基本规律。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6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2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94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8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理解德育原则，掌握和运用的与方法。</w:t>
            </w:r>
          </w:p>
        </w:tc>
        <w:tc>
          <w:tcPr>
            <w:tcW w:w="102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讲授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讨论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展示</w:t>
            </w:r>
          </w:p>
        </w:tc>
        <w:tc>
          <w:tcPr>
            <w:tcW w:w="319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【课堂小组讨论】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1、自学德育原则，并运用这些原则分析具体案例，集中展示。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2、根据问题情境，讨论并设计解决问题的具体德育途径和方法。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教育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改革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与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发展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理解叫与改革的意义，把握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现代教育改革的发展轨迹和发展趋势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讨论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展示</w:t>
            </w:r>
          </w:p>
        </w:tc>
        <w:tc>
          <w:tcPr>
            <w:tcW w:w="3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【查询与展示】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1、收集国内外教育改革的相关资料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针对目前的教育改革发表自己的观点。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向同学推荐一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部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自己认为较好的教育方面的影片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或者一本教育类书籍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，并说明推荐理由。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jc w:val="right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合计：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281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  <w:tc>
          <w:tcPr>
            <w:tcW w:w="319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hint="eastAsia" w:asciiTheme="majorEastAsia" w:hAnsiTheme="majorEastAsia" w:eastAsiaTheme="majorEastAsia" w:cstheme="majorEastAsia"/>
                <w:b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Cs w:val="21"/>
                <w:lang w:eastAsia="zh-CN"/>
              </w:rPr>
              <w:t>成绩评定方法及标准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3"/>
            <w:vAlign w:val="center"/>
          </w:tcPr>
          <w:p>
            <w:pPr>
              <w:snapToGrid w:val="0"/>
              <w:spacing w:after="0" w:line="0" w:lineRule="atLeast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考核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1" w:type="dxa"/>
            <w:gridSpan w:val="5"/>
            <w:vAlign w:val="center"/>
          </w:tcPr>
          <w:p>
            <w:pPr>
              <w:snapToGrid w:val="0"/>
              <w:spacing w:after="0" w:line="0" w:lineRule="atLeast"/>
              <w:ind w:left="180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评价标准</w:t>
            </w:r>
          </w:p>
        </w:tc>
        <w:tc>
          <w:tcPr>
            <w:tcW w:w="1581" w:type="dxa"/>
            <w:vAlign w:val="center"/>
          </w:tcPr>
          <w:p>
            <w:pPr>
              <w:snapToGrid w:val="0"/>
              <w:spacing w:after="0" w:line="0" w:lineRule="atLeast"/>
              <w:ind w:left="180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3"/>
            <w:vAlign w:val="center"/>
          </w:tcPr>
          <w:p>
            <w:pPr>
              <w:snapToGrid w:val="0"/>
              <w:spacing w:after="0" w:line="240" w:lineRule="atLeas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eastAsia="zh-CN"/>
              </w:rPr>
              <w:t>平时作业与课堂表现</w:t>
            </w:r>
          </w:p>
        </w:tc>
        <w:tc>
          <w:tcPr>
            <w:tcW w:w="5811" w:type="dxa"/>
            <w:gridSpan w:val="5"/>
            <w:vAlign w:val="center"/>
          </w:tcPr>
          <w:p>
            <w:pPr>
              <w:snapToGrid w:val="0"/>
              <w:spacing w:after="0" w:line="240" w:lineRule="atLeas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eastAsia="zh-CN"/>
              </w:rPr>
              <w:t>根据每次作业是否按时按质完成酌情给分，所有作业的平均分加上</w:t>
            </w: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  <w:t>出勤情况、</w:t>
            </w: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eastAsia="zh-CN"/>
              </w:rPr>
              <w:t>课堂表现加（扣）分等于平时成绩</w:t>
            </w:r>
          </w:p>
        </w:tc>
        <w:tc>
          <w:tcPr>
            <w:tcW w:w="1581" w:type="dxa"/>
            <w:vAlign w:val="center"/>
          </w:tcPr>
          <w:p>
            <w:pPr>
              <w:snapToGrid w:val="0"/>
              <w:spacing w:after="0" w:line="240" w:lineRule="atLeast"/>
              <w:ind w:left="18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/>
                <w:b w:val="0"/>
                <w:bCs/>
                <w:sz w:val="21"/>
                <w:szCs w:val="21"/>
                <w:lang w:eastAsia="zh-CN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3"/>
            <w:vAlign w:val="center"/>
          </w:tcPr>
          <w:p>
            <w:pPr>
              <w:snapToGrid w:val="0"/>
              <w:spacing w:after="0" w:line="240" w:lineRule="atLeas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eastAsia="zh-CN"/>
              </w:rPr>
              <w:t>期中考查</w:t>
            </w:r>
          </w:p>
        </w:tc>
        <w:tc>
          <w:tcPr>
            <w:tcW w:w="5811" w:type="dxa"/>
            <w:gridSpan w:val="5"/>
            <w:vAlign w:val="center"/>
          </w:tcPr>
          <w:p>
            <w:pPr>
              <w:snapToGrid w:val="0"/>
              <w:spacing w:after="0" w:line="240" w:lineRule="atLeas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eastAsia="zh-CN"/>
              </w:rPr>
              <w:t>要求全面上半学期学习过的内容，按考查评分标准给分</w:t>
            </w:r>
          </w:p>
        </w:tc>
        <w:tc>
          <w:tcPr>
            <w:tcW w:w="1581" w:type="dxa"/>
            <w:vAlign w:val="center"/>
          </w:tcPr>
          <w:p>
            <w:pPr>
              <w:snapToGrid w:val="0"/>
              <w:spacing w:after="0" w:line="240" w:lineRule="atLeast"/>
              <w:ind w:left="180" w:lef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/>
                <w:b w:val="0"/>
                <w:bCs/>
                <w:sz w:val="21"/>
                <w:szCs w:val="21"/>
                <w:lang w:eastAsia="zh-CN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期末考试</w:t>
            </w:r>
          </w:p>
        </w:tc>
        <w:tc>
          <w:tcPr>
            <w:tcW w:w="5811" w:type="dxa"/>
            <w:gridSpan w:val="5"/>
            <w:vAlign w:val="center"/>
          </w:tcPr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eastAsia="zh-CN"/>
              </w:rPr>
              <w:t>要求全面掌握全学期学习过的内容，按试卷评分标准给分</w:t>
            </w:r>
          </w:p>
        </w:tc>
        <w:tc>
          <w:tcPr>
            <w:tcW w:w="1581" w:type="dxa"/>
            <w:vAlign w:val="center"/>
          </w:tcPr>
          <w:p>
            <w:pPr>
              <w:snapToGrid w:val="0"/>
              <w:ind w:left="180" w:leftChars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snapToGrid w:val="0"/>
              <w:spacing w:after="0" w:line="0" w:lineRule="atLeast"/>
              <w:ind w:left="180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  <w:t>大纲编写时间：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val="en-US" w:eastAsia="zh-CN"/>
              </w:rPr>
              <w:t>2017年9月1日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1" w:hRule="atLeast"/>
          <w:jc w:val="center"/>
        </w:trPr>
        <w:tc>
          <w:tcPr>
            <w:tcW w:w="9401" w:type="dxa"/>
            <w:gridSpan w:val="9"/>
          </w:tcPr>
          <w:p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hint="eastAsia" w:asciiTheme="majorEastAsia" w:hAnsiTheme="majorEastAsia" w:eastAsiaTheme="majorEastAsia" w:cstheme="majorEastAsia"/>
                <w:b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Cs w:val="21"/>
                <w:lang w:eastAsia="zh-CN"/>
              </w:rPr>
              <w:t>系（部）审查意见：</w:t>
            </w:r>
          </w:p>
          <w:p>
            <w:pPr>
              <w:spacing w:after="0" w:line="0" w:lineRule="atLeast"/>
              <w:ind w:firstLine="57" w:firstLineChars="27"/>
              <w:jc w:val="left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firstLine="57" w:firstLineChars="27"/>
              <w:jc w:val="left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firstLine="945" w:firstLineChars="45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。</w:t>
            </w:r>
          </w:p>
          <w:p>
            <w:pPr>
              <w:spacing w:after="0" w:line="0" w:lineRule="atLeast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right="42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right="420"/>
              <w:jc w:val="right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系（部）主任签名：                         日期：      年    月    日</w:t>
            </w:r>
          </w:p>
          <w:p>
            <w:pPr>
              <w:snapToGrid w:val="0"/>
              <w:spacing w:after="0" w:line="0" w:lineRule="atLeast"/>
              <w:ind w:left="18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</w:p>
        </w:tc>
      </w:tr>
    </w:tbl>
    <w:p>
      <w:pPr>
        <w:spacing w:line="360" w:lineRule="exact"/>
        <w:rPr>
          <w:rFonts w:ascii="宋体" w:hAnsi="宋体" w:eastAsia="宋体"/>
          <w:b/>
          <w:sz w:val="21"/>
          <w:szCs w:val="21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CIDFont + F2">
    <w:altName w:val="Almonte Sno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lmonte Snow">
    <w:panose1 w:val="02000400000000000000"/>
    <w:charset w:val="00"/>
    <w:family w:val="auto"/>
    <w:pitch w:val="default"/>
    <w:sig w:usb0="80000003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迷你简橄榄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迷你简少儿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799B"/>
    <w:rsid w:val="00061F27"/>
    <w:rsid w:val="0006698D"/>
    <w:rsid w:val="00087B74"/>
    <w:rsid w:val="000B626E"/>
    <w:rsid w:val="000C2D4A"/>
    <w:rsid w:val="000E0AE8"/>
    <w:rsid w:val="00155E5A"/>
    <w:rsid w:val="00171228"/>
    <w:rsid w:val="001B31E9"/>
    <w:rsid w:val="001D28E8"/>
    <w:rsid w:val="001F20BC"/>
    <w:rsid w:val="002111AE"/>
    <w:rsid w:val="00227119"/>
    <w:rsid w:val="002E27E1"/>
    <w:rsid w:val="003044FA"/>
    <w:rsid w:val="0037561C"/>
    <w:rsid w:val="003C66D8"/>
    <w:rsid w:val="003E66A6"/>
    <w:rsid w:val="00414FC8"/>
    <w:rsid w:val="00457E42"/>
    <w:rsid w:val="004B3994"/>
    <w:rsid w:val="004E0481"/>
    <w:rsid w:val="004E7804"/>
    <w:rsid w:val="005639AB"/>
    <w:rsid w:val="005911D3"/>
    <w:rsid w:val="005F174F"/>
    <w:rsid w:val="0063410F"/>
    <w:rsid w:val="0065651C"/>
    <w:rsid w:val="00735FDE"/>
    <w:rsid w:val="00770F0D"/>
    <w:rsid w:val="00776AF2"/>
    <w:rsid w:val="00785779"/>
    <w:rsid w:val="007A154B"/>
    <w:rsid w:val="008147FF"/>
    <w:rsid w:val="00815F78"/>
    <w:rsid w:val="008512DF"/>
    <w:rsid w:val="00855020"/>
    <w:rsid w:val="00885EED"/>
    <w:rsid w:val="00892ADC"/>
    <w:rsid w:val="00896971"/>
    <w:rsid w:val="008F6642"/>
    <w:rsid w:val="00917C66"/>
    <w:rsid w:val="009349EE"/>
    <w:rsid w:val="009A2B5C"/>
    <w:rsid w:val="009B3EAE"/>
    <w:rsid w:val="009C3354"/>
    <w:rsid w:val="009D3079"/>
    <w:rsid w:val="00A84D68"/>
    <w:rsid w:val="00A85774"/>
    <w:rsid w:val="00AA199F"/>
    <w:rsid w:val="00AB00C2"/>
    <w:rsid w:val="00AE48DD"/>
    <w:rsid w:val="00BB35F5"/>
    <w:rsid w:val="00C41D05"/>
    <w:rsid w:val="00C705DD"/>
    <w:rsid w:val="00C76FA2"/>
    <w:rsid w:val="00CA1AB8"/>
    <w:rsid w:val="00CC4A46"/>
    <w:rsid w:val="00CD2F8F"/>
    <w:rsid w:val="00D45246"/>
    <w:rsid w:val="00D62B41"/>
    <w:rsid w:val="00DB45CF"/>
    <w:rsid w:val="00DB5724"/>
    <w:rsid w:val="00DF5C03"/>
    <w:rsid w:val="00E0505F"/>
    <w:rsid w:val="00E413E8"/>
    <w:rsid w:val="00E53E23"/>
    <w:rsid w:val="00ED3FCA"/>
    <w:rsid w:val="00F31667"/>
    <w:rsid w:val="00F617C2"/>
    <w:rsid w:val="00F96D96"/>
    <w:rsid w:val="00FE22C8"/>
    <w:rsid w:val="093E1AD5"/>
    <w:rsid w:val="157715D7"/>
    <w:rsid w:val="19DD6C4E"/>
    <w:rsid w:val="1B7B7E70"/>
    <w:rsid w:val="1C05296E"/>
    <w:rsid w:val="1C993AA2"/>
    <w:rsid w:val="1D427DFE"/>
    <w:rsid w:val="27061BD2"/>
    <w:rsid w:val="28AD1D92"/>
    <w:rsid w:val="29495FBC"/>
    <w:rsid w:val="2C23799B"/>
    <w:rsid w:val="2DA327CB"/>
    <w:rsid w:val="326C19F5"/>
    <w:rsid w:val="339F1EBE"/>
    <w:rsid w:val="36EF5E2D"/>
    <w:rsid w:val="3E9C4806"/>
    <w:rsid w:val="47F83C32"/>
    <w:rsid w:val="54CF459D"/>
    <w:rsid w:val="55E045E0"/>
    <w:rsid w:val="597D134A"/>
    <w:rsid w:val="5CF90ECB"/>
    <w:rsid w:val="60E91283"/>
    <w:rsid w:val="62327F23"/>
    <w:rsid w:val="62507B95"/>
    <w:rsid w:val="62602DFF"/>
    <w:rsid w:val="6E5C7470"/>
    <w:rsid w:val="72506D9C"/>
    <w:rsid w:val="7A4F2864"/>
    <w:rsid w:val="7B5732A4"/>
    <w:rsid w:val="7DC63452"/>
    <w:rsid w:val="7E6A4D05"/>
    <w:rsid w:val="7E914312"/>
    <w:rsid w:val="7EDD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/>
      <w:jc w:val="both"/>
    </w:pPr>
    <w:rPr>
      <w:rFonts w:ascii="Times New Roman" w:hAnsi="Times New Roman" w:eastAsia="PMingLiU" w:cs="Times New Roman"/>
      <w:sz w:val="24"/>
      <w:szCs w:val="22"/>
      <w:lang w:val="en-US" w:eastAsia="en-US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列出段落1"/>
    <w:basedOn w:val="1"/>
    <w:qFormat/>
    <w:uiPriority w:val="34"/>
    <w:pPr>
      <w:widowControl w:val="0"/>
      <w:spacing w:after="0"/>
      <w:ind w:left="480" w:leftChars="200"/>
      <w:jc w:val="left"/>
    </w:pPr>
    <w:rPr>
      <w:rFonts w:ascii="Calibri" w:hAnsi="Calibri" w:eastAsia="DFKai-SB"/>
      <w:kern w:val="2"/>
      <w:lang w:eastAsia="zh-TW"/>
    </w:rPr>
  </w:style>
  <w:style w:type="character" w:customStyle="1" w:styleId="9">
    <w:name w:val="fontstyle01"/>
    <w:basedOn w:val="5"/>
    <w:qFormat/>
    <w:uiPriority w:val="0"/>
    <w:rPr>
      <w:rFonts w:ascii="CIDFont + F2" w:hAnsi="CIDFont + F2" w:eastAsia="CIDFont + F2" w:cs="CIDFont + F2"/>
      <w:color w:val="000000"/>
      <w:sz w:val="20"/>
      <w:szCs w:val="20"/>
    </w:rPr>
  </w:style>
  <w:style w:type="character" w:customStyle="1" w:styleId="10">
    <w:name w:val="页眉 Char"/>
    <w:basedOn w:val="5"/>
    <w:link w:val="4"/>
    <w:qFormat/>
    <w:uiPriority w:val="0"/>
    <w:rPr>
      <w:rFonts w:eastAsia="PMingLiU"/>
      <w:sz w:val="18"/>
      <w:szCs w:val="18"/>
      <w:lang w:eastAsia="en-US"/>
    </w:rPr>
  </w:style>
  <w:style w:type="character" w:customStyle="1" w:styleId="11">
    <w:name w:val="页脚 Char"/>
    <w:basedOn w:val="5"/>
    <w:link w:val="3"/>
    <w:qFormat/>
    <w:uiPriority w:val="0"/>
    <w:rPr>
      <w:rFonts w:eastAsia="PMingLiU"/>
      <w:sz w:val="18"/>
      <w:szCs w:val="18"/>
      <w:lang w:eastAsia="en-US"/>
    </w:rPr>
  </w:style>
  <w:style w:type="paragraph" w:customStyle="1" w:styleId="12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13">
    <w:name w:val="批注框文本 Char"/>
    <w:basedOn w:val="5"/>
    <w:link w:val="2"/>
    <w:qFormat/>
    <w:uiPriority w:val="0"/>
    <w:rPr>
      <w:rFonts w:eastAsia="PMingLiU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4B78B5-F753-4C4D-89D9-8A5C96C6A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144</Words>
  <Characters>825</Characters>
  <Lines>6</Lines>
  <Paragraphs>1</Paragraphs>
  <ScaleCrop>false</ScaleCrop>
  <LinksUpToDate>false</LinksUpToDate>
  <CharactersWithSpaces>968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2017-09-01T07:23:00Z</dcterms:created>
  <dc:creator>lenovo</dc:creator>
  <cp:lastModifiedBy>心旷神怡1425216171</cp:lastModifiedBy>
  <cp:lastPrinted>2017-01-05T16:24:00Z</cp:lastPrinted>
  <dcterms:modified xsi:type="dcterms:W3CDTF">2017-11-10T07:16:45Z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